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B2F1BB" w14:textId="6C57D8EB" w:rsidR="6338453E" w:rsidRPr="00B820A4" w:rsidRDefault="00B820A4" w:rsidP="00B820A4">
      <w:pPr>
        <w:spacing w:after="0" w:line="276" w:lineRule="auto"/>
        <w:ind w:firstLine="851"/>
        <w:jc w:val="center"/>
        <w:rPr>
          <w:rFonts w:asciiTheme="majorHAnsi" w:hAnsiTheme="majorHAnsi"/>
          <w:sz w:val="28"/>
          <w:szCs w:val="28"/>
        </w:rPr>
      </w:pPr>
      <w:r w:rsidRPr="00B820A4">
        <w:rPr>
          <w:rFonts w:asciiTheme="majorHAnsi" w:eastAsia="Cambria" w:hAnsiTheme="majorHAnsi" w:cs="Cambria"/>
          <w:b/>
          <w:bCs/>
          <w:sz w:val="28"/>
          <w:szCs w:val="28"/>
        </w:rPr>
        <w:t xml:space="preserve">Qual o </w:t>
      </w:r>
      <w:r>
        <w:rPr>
          <w:rFonts w:asciiTheme="majorHAnsi" w:eastAsia="Cambria" w:hAnsiTheme="majorHAnsi" w:cs="Cambria"/>
          <w:b/>
          <w:bCs/>
          <w:sz w:val="28"/>
          <w:szCs w:val="28"/>
        </w:rPr>
        <w:t>IMC</w:t>
      </w:r>
      <w:r w:rsidRPr="00B820A4">
        <w:rPr>
          <w:rFonts w:asciiTheme="majorHAnsi" w:eastAsia="Cambria" w:hAnsiTheme="majorHAnsi" w:cs="Cambria"/>
          <w:b/>
          <w:bCs/>
          <w:sz w:val="28"/>
          <w:szCs w:val="28"/>
        </w:rPr>
        <w:t xml:space="preserve"> dos alunos cursos técnicos integrados ao ensino médio no </w:t>
      </w:r>
      <w:r>
        <w:rPr>
          <w:rFonts w:asciiTheme="majorHAnsi" w:eastAsia="Cambria" w:hAnsiTheme="majorHAnsi" w:cs="Cambria"/>
          <w:b/>
          <w:bCs/>
          <w:sz w:val="28"/>
          <w:szCs w:val="28"/>
        </w:rPr>
        <w:t>IFTM</w:t>
      </w:r>
      <w:r w:rsidRPr="00B820A4">
        <w:rPr>
          <w:rFonts w:asciiTheme="majorHAnsi" w:eastAsia="Cambria" w:hAnsiTheme="majorHAnsi" w:cs="Cambria"/>
          <w:b/>
          <w:bCs/>
          <w:sz w:val="28"/>
          <w:szCs w:val="28"/>
        </w:rPr>
        <w:t xml:space="preserve"> – </w:t>
      </w:r>
      <w:r>
        <w:rPr>
          <w:rFonts w:asciiTheme="majorHAnsi" w:eastAsia="Cambria" w:hAnsiTheme="majorHAnsi" w:cs="Cambria"/>
          <w:b/>
          <w:bCs/>
          <w:sz w:val="28"/>
          <w:szCs w:val="28"/>
        </w:rPr>
        <w:t>C</w:t>
      </w:r>
      <w:r w:rsidRPr="00B820A4">
        <w:rPr>
          <w:rFonts w:asciiTheme="majorHAnsi" w:eastAsia="Cambria" w:hAnsiTheme="majorHAnsi" w:cs="Cambria"/>
          <w:b/>
          <w:bCs/>
          <w:sz w:val="28"/>
          <w:szCs w:val="28"/>
        </w:rPr>
        <w:t xml:space="preserve">ampus </w:t>
      </w:r>
      <w:r>
        <w:rPr>
          <w:rFonts w:asciiTheme="majorHAnsi" w:eastAsia="Cambria" w:hAnsiTheme="majorHAnsi" w:cs="Cambria"/>
          <w:b/>
          <w:bCs/>
          <w:sz w:val="28"/>
          <w:szCs w:val="28"/>
        </w:rPr>
        <w:t>U</w:t>
      </w:r>
      <w:bookmarkStart w:id="0" w:name="_GoBack"/>
      <w:bookmarkEnd w:id="0"/>
      <w:r w:rsidRPr="00B820A4">
        <w:rPr>
          <w:rFonts w:asciiTheme="majorHAnsi" w:eastAsia="Cambria" w:hAnsiTheme="majorHAnsi" w:cs="Cambria"/>
          <w:b/>
          <w:bCs/>
          <w:sz w:val="28"/>
          <w:szCs w:val="28"/>
        </w:rPr>
        <w:t>berlândia?</w:t>
      </w:r>
    </w:p>
    <w:p w14:paraId="11498C97" w14:textId="1B4198F9" w:rsidR="6338453E" w:rsidRPr="00B820A4" w:rsidRDefault="6338453E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Verdana" w:hAnsiTheme="majorHAnsi" w:cs="Verdana"/>
          <w:sz w:val="24"/>
          <w:szCs w:val="24"/>
        </w:rPr>
        <w:t xml:space="preserve"> </w:t>
      </w:r>
    </w:p>
    <w:p w14:paraId="3A1A0067" w14:textId="77777777" w:rsidR="00B820A4" w:rsidRDefault="6338453E" w:rsidP="00B820A4">
      <w:pPr>
        <w:spacing w:after="0" w:line="276" w:lineRule="auto"/>
        <w:jc w:val="both"/>
        <w:rPr>
          <w:rFonts w:asciiTheme="majorHAnsi" w:eastAsia="Calibri" w:hAnsiTheme="majorHAnsi" w:cs="Calibr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Estudantes: Bianca Silva Santos; Maria Eduarda Guedes Coutinho;</w:t>
      </w: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 xml:space="preserve"> </w:t>
      </w:r>
      <w:r w:rsidR="00B820A4">
        <w:rPr>
          <w:rFonts w:asciiTheme="majorHAnsi" w:eastAsia="Calibri" w:hAnsiTheme="majorHAnsi" w:cs="Calibri"/>
          <w:sz w:val="24"/>
          <w:szCs w:val="24"/>
        </w:rPr>
        <w:t>Rondon Ferreira de Sousa Filho</w:t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 </w:t>
      </w:r>
    </w:p>
    <w:p w14:paraId="2DCE523E" w14:textId="128E44EA" w:rsidR="6338453E" w:rsidRDefault="6338453E" w:rsidP="00B820A4">
      <w:pPr>
        <w:spacing w:after="0" w:line="276" w:lineRule="auto"/>
        <w:jc w:val="both"/>
        <w:rPr>
          <w:rFonts w:asciiTheme="majorHAnsi" w:eastAsia="Calibri" w:hAnsiTheme="majorHAnsi" w:cs="Calibr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Orientadores: Carla Regina Amorim dos Anjos Queiroz; Tatiana Boff. </w:t>
      </w:r>
    </w:p>
    <w:p w14:paraId="76F68225" w14:textId="164C0E35" w:rsidR="00B820A4" w:rsidRPr="00B820A4" w:rsidRDefault="00B820A4" w:rsidP="00B820A4">
      <w:pPr>
        <w:spacing w:after="0"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>Instituto Federal do Triângulo Mineiro</w:t>
      </w:r>
    </w:p>
    <w:p w14:paraId="4BA0A2F5" w14:textId="02D1671E" w:rsidR="6338453E" w:rsidRPr="00B820A4" w:rsidRDefault="6338453E" w:rsidP="00B820A4">
      <w:pPr>
        <w:pStyle w:val="Ttulo1"/>
        <w:spacing w:before="0" w:line="276" w:lineRule="auto"/>
        <w:ind w:firstLine="851"/>
        <w:jc w:val="both"/>
        <w:rPr>
          <w:sz w:val="24"/>
          <w:szCs w:val="24"/>
        </w:rPr>
      </w:pPr>
      <w:r w:rsidRPr="00B820A4">
        <w:rPr>
          <w:sz w:val="24"/>
          <w:szCs w:val="24"/>
        </w:rPr>
        <w:t xml:space="preserve"> </w:t>
      </w:r>
    </w:p>
    <w:p w14:paraId="4BE3C8D6" w14:textId="62403F20" w:rsidR="6338453E" w:rsidRPr="00B820A4" w:rsidRDefault="6338453E" w:rsidP="00B820A4">
      <w:pPr>
        <w:pStyle w:val="Ttulo1"/>
        <w:spacing w:before="0" w:line="276" w:lineRule="auto"/>
        <w:jc w:val="both"/>
        <w:rPr>
          <w:sz w:val="24"/>
          <w:szCs w:val="24"/>
        </w:rPr>
      </w:pPr>
      <w:r w:rsidRPr="00B820A4">
        <w:rPr>
          <w:rFonts w:eastAsiaTheme="minorEastAsia" w:cstheme="minorBidi"/>
          <w:color w:val="auto"/>
          <w:sz w:val="24"/>
          <w:szCs w:val="24"/>
        </w:rPr>
        <w:t>RESUMO</w:t>
      </w:r>
    </w:p>
    <w:p w14:paraId="17C64DF3" w14:textId="55CE0EC3" w:rsidR="6338453E" w:rsidRPr="00B820A4" w:rsidRDefault="2A8F2335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Arial" w:hAnsiTheme="majorHAnsi" w:cs="Arial"/>
          <w:sz w:val="24"/>
          <w:szCs w:val="24"/>
        </w:rPr>
        <w:t xml:space="preserve">O estado nutricional dos estudantes do Instituto Federal do Triângulo Mineiro – Campus Uberlândia não está constantemente em estudo. Com o objetivo de sistematizar informações quanto aos hábitos alimentares e ao estado nutricional simplificado dos estudantes de cursos técnicos integrados realizou-se uma pesquisa baseada em questionário (sobre hábitos alimentares e prática de atividade física) e coleta de dados antropométricos (peso, altura e circunferência da cintura). A partir dos dados calculou-se o Índice de Massa Corpórea (IMC) e os alunos foram classificados de acordo com o resultado em IMC baixo, ideal ou alto. Os resultados obtidos indicam que cerca de 70% dos alunos dos cursos pesquisados estão com IMC na faixa ideal e 30% fora do ideal, sendo destes 13% abaixo e 17% acima do ideal. Analisando os alunos por curso, detectou-se que o curso Técnico em Alimentos possui o maior percentual de alunos na faixa da idealidade (89%) e o curso Técnico em Agropecuária o menor percentual (66%). Considerando separadamente os alunos por sexo, observou-se que há mais alunas com baixo IMC (55,2% dos estudantes com baixo IMC) e mais alunos com alto IMC (67,6% dos estudantes com alto IMC). </w:t>
      </w:r>
    </w:p>
    <w:p w14:paraId="0C45638B" w14:textId="358FDEDC" w:rsidR="6338453E" w:rsidRPr="00B820A4" w:rsidRDefault="6338453E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 </w:t>
      </w:r>
    </w:p>
    <w:p w14:paraId="53550DB6" w14:textId="34BD3AEF" w:rsidR="6338453E" w:rsidRPr="00B820A4" w:rsidRDefault="2A8F2335" w:rsidP="00B820A4">
      <w:pPr>
        <w:spacing w:after="0" w:line="276" w:lineRule="auto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bCs/>
          <w:sz w:val="24"/>
          <w:szCs w:val="24"/>
        </w:rPr>
        <w:t>Palavras-chave:</w:t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 adolescência, hábitos alimentares, perfil alimentar.</w:t>
      </w:r>
    </w:p>
    <w:p w14:paraId="7035FABF" w14:textId="1989E3AE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 </w:t>
      </w:r>
    </w:p>
    <w:p w14:paraId="0BA55487" w14:textId="7EC9C00C" w:rsidR="6338453E" w:rsidRPr="00B820A4" w:rsidRDefault="5C3C2AAF" w:rsidP="00B820A4">
      <w:pPr>
        <w:pStyle w:val="Ttulo1"/>
        <w:spacing w:before="0" w:line="276" w:lineRule="auto"/>
        <w:jc w:val="both"/>
        <w:rPr>
          <w:sz w:val="24"/>
          <w:szCs w:val="24"/>
        </w:rPr>
      </w:pPr>
      <w:r w:rsidRPr="00B820A4">
        <w:rPr>
          <w:rFonts w:eastAsiaTheme="minorEastAsia" w:cstheme="minorBidi"/>
          <w:color w:val="auto"/>
          <w:sz w:val="24"/>
          <w:szCs w:val="24"/>
        </w:rPr>
        <w:t>INTRODUÇÃO</w:t>
      </w:r>
    </w:p>
    <w:p w14:paraId="68D860BB" w14:textId="0DDCDFE3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Embora nem sempre programas de incentivo ao consumo de porções adequadas de alimentos para a manutenção de uma vida saudável estejam em evidência, os hábitos alimentares de crianças e adolescentes podem influenciar a vida adulta quanto à obesidade e ao desenvolvimento de doenças degenerativas a elas relacionadas (RIVERA e SOUZA, 2006). Em relação à adolescência, que é a fase de transição entre a infância e a vida adulta, geralmente caracterizada por intensas mudanças físicas, sociais e psicológicas, deve-se atentar ainda mais à alimentação, pois esta etapa é considerada preditiva em relação à obesidade na idade adulta (FONSECA, SICHERI e VEIGA, 1998; GAMBARDELLA, FRUTUOSO e FRANCH, 1999).</w:t>
      </w:r>
    </w:p>
    <w:p w14:paraId="48F4516F" w14:textId="0A2EBE8A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O índice de massa corpórea (IMC), obtido pela relação entre medidas de peso e altura, tem sido considerado um bom indicador de obesidade, mesmo que apresente variação com a idade e com a maturidade sexual (FONSECA, SICHERI e VEIGA, 1998; POLLA e SCHERER, 2011).</w:t>
      </w:r>
    </w:p>
    <w:p w14:paraId="3A1443FC" w14:textId="6FC54A2C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lastRenderedPageBreak/>
        <w:t xml:space="preserve">Com o objetivo de identificar e sistematizar informações quanto aos hábitos alimentares e ao estado nutricional simplificado dos estudantes de cursos técnicos integrados do Instituto Federal do Triângulo Mineiro – </w:t>
      </w:r>
      <w:r w:rsidRPr="00B820A4">
        <w:rPr>
          <w:rFonts w:asciiTheme="majorHAnsi" w:eastAsia="Calibri" w:hAnsiTheme="majorHAnsi" w:cs="Calibri"/>
          <w:i/>
          <w:iCs/>
          <w:sz w:val="24"/>
          <w:szCs w:val="24"/>
        </w:rPr>
        <w:t>Campus</w:t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 Uberlândia, realizou-se uma pesquisa baseada em questionário e coleta de dados antropométricos dos estudantes participantes. </w:t>
      </w:r>
    </w:p>
    <w:p w14:paraId="6A5AF4E9" w14:textId="6AD0A7E8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 </w:t>
      </w:r>
    </w:p>
    <w:p w14:paraId="33FCCCAE" w14:textId="1CD9806D" w:rsidR="6338453E" w:rsidRPr="00B820A4" w:rsidRDefault="5C3C2AAF" w:rsidP="00B820A4">
      <w:pPr>
        <w:pStyle w:val="Ttulo1"/>
        <w:spacing w:before="0" w:line="276" w:lineRule="auto"/>
        <w:jc w:val="both"/>
        <w:rPr>
          <w:sz w:val="24"/>
          <w:szCs w:val="24"/>
        </w:rPr>
      </w:pPr>
      <w:r w:rsidRPr="00B820A4">
        <w:rPr>
          <w:rFonts w:eastAsiaTheme="minorEastAsia" w:cstheme="minorBidi"/>
          <w:color w:val="auto"/>
          <w:sz w:val="24"/>
          <w:szCs w:val="24"/>
        </w:rPr>
        <w:t>MATERIAL e MÉTODOS</w:t>
      </w:r>
    </w:p>
    <w:p w14:paraId="0D7D5645" w14:textId="632B1A1F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O estudo foi realizado com estudantes dos cursos Técnicos Integrados ao Ensino Médio (Agropecuária, Manutenção e Suporte em Informática, Meio Ambiente e Alimentos) do Instituto Federal do Triângulo Mineiro- </w:t>
      </w:r>
      <w:r w:rsidRPr="00B820A4">
        <w:rPr>
          <w:rFonts w:asciiTheme="majorHAnsi" w:eastAsia="Calibri" w:hAnsiTheme="majorHAnsi" w:cs="Calibri"/>
          <w:i/>
          <w:iCs/>
          <w:sz w:val="24"/>
          <w:szCs w:val="24"/>
        </w:rPr>
        <w:t>Campus</w:t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 Uberlândia, no primeiro semestre de 2015.</w:t>
      </w:r>
    </w:p>
    <w:p w14:paraId="6CF6551F" w14:textId="71D64D32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A amostra se caracterizou como aleatória e voluntária, tendo contado com participantes em cada uma das 13 turmas em curso no referido semestre. A idade dos participantes foi entre 14 e 18 anos, com participação total de 219 alunos de ambos os sexos.</w:t>
      </w:r>
    </w:p>
    <w:p w14:paraId="72F9B0D7" w14:textId="3B772F20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A avaliação do perfil antropométrico se deu por medida do peso corporal, altura e medida da circunferência da cintura. A medida de peso foi realizada com uso de balança de plataforma convencional (menor divisão = 0,1 kg) e a medida da altura com régua antropométrica retrátil acoplada à balança (menor divisão = 0,5 cm).</w:t>
      </w:r>
    </w:p>
    <w:p w14:paraId="1B5119E7" w14:textId="2C57B3EE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A partir das medidas de peso e altura calculou-se o Índice de Massa Corpórea (IMC) pela divisão entre o peso em quilogramas e o quadrado da altura em metros. </w:t>
      </w:r>
    </w:p>
    <w:p w14:paraId="1DB16788" w14:textId="70A8F07C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O IMC foi utilizado para classificar os estudantes em três categorias quanto ao estado nutricional, a saber: baixo peso (IMC &lt; 18,5 kg/m</w:t>
      </w: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>2</w:t>
      </w:r>
      <w:r w:rsidRPr="00B820A4">
        <w:rPr>
          <w:rFonts w:asciiTheme="majorHAnsi" w:eastAsia="Calibri" w:hAnsiTheme="majorHAnsi" w:cs="Calibri"/>
          <w:sz w:val="24"/>
          <w:szCs w:val="24"/>
        </w:rPr>
        <w:t>), peso ideal (18,5 kg/m</w:t>
      </w: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>2</w:t>
      </w:r>
      <w:r w:rsidRPr="00B820A4">
        <w:rPr>
          <w:rFonts w:asciiTheme="majorHAnsi" w:eastAsia="Calibri" w:hAnsiTheme="majorHAnsi" w:cs="Calibri"/>
          <w:sz w:val="24"/>
          <w:szCs w:val="24"/>
        </w:rPr>
        <w:t>&lt; IMC &lt; 25,0 kg/m</w:t>
      </w: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>2</w:t>
      </w:r>
      <w:r w:rsidRPr="00B820A4">
        <w:rPr>
          <w:rFonts w:asciiTheme="majorHAnsi" w:eastAsia="Calibri" w:hAnsiTheme="majorHAnsi" w:cs="Calibri"/>
          <w:sz w:val="24"/>
          <w:szCs w:val="24"/>
        </w:rPr>
        <w:t>) e acima do peso (IMC &gt; 25,0 kg/m</w:t>
      </w: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>2</w:t>
      </w:r>
      <w:r w:rsidRPr="00B820A4">
        <w:rPr>
          <w:rFonts w:asciiTheme="majorHAnsi" w:eastAsia="Calibri" w:hAnsiTheme="majorHAnsi" w:cs="Calibri"/>
          <w:sz w:val="24"/>
          <w:szCs w:val="24"/>
        </w:rPr>
        <w:t>) (GLANER et al., 2013).</w:t>
      </w:r>
    </w:p>
    <w:p w14:paraId="010808C0" w14:textId="2EBA8E98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A circunferência da cintura (CC) foi medida com fita métrica inextensível (menor divisão = 0,5 cm) e o resultado classificado como adequado se ≤ 75 cm e alto se &gt; 75 cm (GLANER et al., 2013).</w:t>
      </w:r>
    </w:p>
    <w:p w14:paraId="47A6BE56" w14:textId="330B232A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A avaliação dos hábitos alimentares e frequências de consumo foi realizada por meio de questionário em que os participantes foram solicitados a responder sobre o consumo de frutas e hortaliças, </w:t>
      </w:r>
      <w:proofErr w:type="spellStart"/>
      <w:r w:rsidRPr="00B820A4">
        <w:rPr>
          <w:rFonts w:asciiTheme="majorHAnsi" w:eastAsia="Calibri" w:hAnsiTheme="majorHAnsi" w:cs="Calibri"/>
          <w:i/>
          <w:iCs/>
          <w:sz w:val="24"/>
          <w:szCs w:val="24"/>
        </w:rPr>
        <w:t>fast</w:t>
      </w:r>
      <w:proofErr w:type="spellEnd"/>
      <w:r w:rsidRPr="00B820A4">
        <w:rPr>
          <w:rFonts w:asciiTheme="majorHAnsi" w:eastAsia="Calibri" w:hAnsiTheme="majorHAnsi" w:cs="Calibri"/>
          <w:i/>
          <w:iCs/>
          <w:sz w:val="24"/>
          <w:szCs w:val="24"/>
        </w:rPr>
        <w:t xml:space="preserve"> </w:t>
      </w:r>
      <w:proofErr w:type="spellStart"/>
      <w:r w:rsidRPr="00B820A4">
        <w:rPr>
          <w:rFonts w:asciiTheme="majorHAnsi" w:eastAsia="Calibri" w:hAnsiTheme="majorHAnsi" w:cs="Calibri"/>
          <w:i/>
          <w:iCs/>
          <w:sz w:val="24"/>
          <w:szCs w:val="24"/>
        </w:rPr>
        <w:t>food</w:t>
      </w:r>
      <w:proofErr w:type="spellEnd"/>
      <w:r w:rsidRPr="00B820A4">
        <w:rPr>
          <w:rFonts w:asciiTheme="majorHAnsi" w:eastAsia="Calibri" w:hAnsiTheme="majorHAnsi" w:cs="Calibri"/>
          <w:sz w:val="24"/>
          <w:szCs w:val="24"/>
        </w:rPr>
        <w:t xml:space="preserve"> e refrigerantes, o número de refeições diárias; além da prática de atividades físicas e a percepção individual quanto ao bem-estar corpóreo. Os dados foram analisados por estatística descritiva utilizando o software Excel. </w:t>
      </w:r>
    </w:p>
    <w:p w14:paraId="56570442" w14:textId="1063AACF" w:rsidR="6338453E" w:rsidRPr="00B820A4" w:rsidRDefault="5C3C2AAF" w:rsidP="00B820A4">
      <w:pPr>
        <w:pStyle w:val="Ttulo1"/>
        <w:spacing w:before="0" w:line="276" w:lineRule="auto"/>
        <w:ind w:firstLine="851"/>
        <w:jc w:val="both"/>
        <w:rPr>
          <w:sz w:val="24"/>
          <w:szCs w:val="24"/>
        </w:rPr>
      </w:pPr>
      <w:r w:rsidRPr="00B820A4">
        <w:rPr>
          <w:sz w:val="24"/>
          <w:szCs w:val="24"/>
        </w:rPr>
        <w:t xml:space="preserve"> </w:t>
      </w:r>
    </w:p>
    <w:p w14:paraId="7478192C" w14:textId="5F209702" w:rsidR="6338453E" w:rsidRPr="00B820A4" w:rsidRDefault="5C3C2AAF" w:rsidP="00B820A4">
      <w:pPr>
        <w:pStyle w:val="Ttulo1"/>
        <w:spacing w:before="0" w:line="276" w:lineRule="auto"/>
        <w:jc w:val="both"/>
        <w:rPr>
          <w:sz w:val="24"/>
          <w:szCs w:val="24"/>
        </w:rPr>
      </w:pPr>
      <w:r w:rsidRPr="00B820A4">
        <w:rPr>
          <w:rFonts w:eastAsiaTheme="minorEastAsia" w:cstheme="minorBidi"/>
          <w:color w:val="auto"/>
          <w:sz w:val="24"/>
          <w:szCs w:val="24"/>
        </w:rPr>
        <w:t>RESULTADOS e DISCUSSÃO</w:t>
      </w:r>
    </w:p>
    <w:p w14:paraId="799C854F" w14:textId="0BC312ED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A quantidade total de alunos participantes correspondeu a 55,4% dos alunos matriculados em cursos Técnicos Integrados ao Ensino Médio no 1º semestre de 2015 e foi superior a 50% dos alunos em cada um dos quatro cursos investigados (Figura 1 - a). Em relação ao gênero, a participação feminina média foi de 43,4% e a masculina de 56,6%. Entretanto, a distribuição por curso apresentou-se menos uniforme, uma vez que em cada curso a distribuição de alunos por gênero também não é uniforme (Figura 1 - b). Nos cursos de Informática e Agropecuária a predominância é masculina e nos outros cursos feminina. Em relação ao total de dados analisados, o curso que apresentou a menor contribuição </w:t>
      </w:r>
      <w:r w:rsidRPr="00B820A4">
        <w:rPr>
          <w:rFonts w:asciiTheme="majorHAnsi" w:eastAsia="Calibri" w:hAnsiTheme="majorHAnsi" w:cs="Calibri"/>
          <w:sz w:val="24"/>
          <w:szCs w:val="24"/>
        </w:rPr>
        <w:lastRenderedPageBreak/>
        <w:t>percentual foi o curso Técnico em Alimentos, pois está em sua primeira turma; e o de maior contribuição foi o curso Técnico em Agropecuária pois possui o maior número de alunos (Figura 1 – c).</w:t>
      </w:r>
    </w:p>
    <w:p w14:paraId="7FFFF9AE" w14:textId="5729E51A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O peso e a altura médios dos estudantes do sexo masculino foi maior que o do sexo feminino para todos os cursos (Tabela 1). Já a diferença observada na circunferência média da cintura entre estudantes do curso Técnico em Informática (sexo feminino e masculino) foi pequena.</w:t>
      </w:r>
    </w:p>
    <w:p w14:paraId="0603FB4D" w14:textId="0E564849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O resultado da classificação da CC por curso e por sexo indicou que o Técnico em Agropecuária é o de maior número de alunos acima do considerado ideal e o curso Técnico em Alimentos é proporcionalmente o de maior número de alunos dentro da conformidade (Figura 2).</w:t>
      </w:r>
    </w:p>
    <w:p w14:paraId="7A90D464" w14:textId="0DEDD163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color w:val="FF0000"/>
          <w:sz w:val="24"/>
          <w:szCs w:val="24"/>
        </w:rPr>
        <w:t xml:space="preserve"> </w:t>
      </w:r>
    </w:p>
    <w:tbl>
      <w:tblPr>
        <w:tblStyle w:val="TabeladeGrade1Clara-nfase11"/>
        <w:tblW w:w="0" w:type="auto"/>
        <w:tblLook w:val="04A0" w:firstRow="1" w:lastRow="0" w:firstColumn="1" w:lastColumn="0" w:noHBand="0" w:noVBand="1"/>
      </w:tblPr>
      <w:tblGrid>
        <w:gridCol w:w="7785"/>
      </w:tblGrid>
      <w:tr w:rsidR="6338453E" w:rsidRPr="00B820A4" w14:paraId="0C624DD1" w14:textId="77777777" w:rsidTr="5C3C2A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5" w:type="dxa"/>
          </w:tcPr>
          <w:p w14:paraId="300059EC" w14:textId="53749305" w:rsidR="6338453E" w:rsidRPr="00B820A4" w:rsidRDefault="6338453E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221ABE7" wp14:editId="25CE095E">
                  <wp:extent cx="4752974" cy="1257300"/>
                  <wp:effectExtent l="0" t="0" r="0" b="0"/>
                  <wp:docPr id="129594959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CD5AA" w14:textId="39297A91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Figura 1. Participação percentual dos alunos dos cursos Técnicos Integrados. (a) Total na pesquisa. (b) Por gênero em cada curso. (c) no conjunto total de dados analisados.</w:t>
      </w:r>
    </w:p>
    <w:p w14:paraId="5F71E818" w14:textId="2706C382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Tabela 1. Resultados médios (± desvio padrão) para peso, altura, circunferência da cintura (CC) e valores extremos obtidos (&gt; = maior valor; &lt; = menor valor) em cada medida. </w:t>
      </w:r>
    </w:p>
    <w:tbl>
      <w:tblPr>
        <w:tblStyle w:val="TabeladeGrade1Clara-nfase11"/>
        <w:tblW w:w="0" w:type="auto"/>
        <w:tblLook w:val="04A0" w:firstRow="1" w:lastRow="0" w:firstColumn="1" w:lastColumn="0" w:noHBand="0" w:noVBand="1"/>
      </w:tblPr>
      <w:tblGrid>
        <w:gridCol w:w="960"/>
        <w:gridCol w:w="1208"/>
        <w:gridCol w:w="888"/>
        <w:gridCol w:w="876"/>
        <w:gridCol w:w="893"/>
        <w:gridCol w:w="888"/>
        <w:gridCol w:w="888"/>
        <w:gridCol w:w="877"/>
        <w:gridCol w:w="888"/>
        <w:gridCol w:w="876"/>
      </w:tblGrid>
      <w:tr w:rsidR="6338453E" w:rsidRPr="00B820A4" w14:paraId="0C3C9D38" w14:textId="77777777" w:rsidTr="5C3C2A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4592E30D" w14:textId="3465441A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Curso Técnico</w:t>
            </w:r>
          </w:p>
        </w:tc>
        <w:tc>
          <w:tcPr>
            <w:tcW w:w="903" w:type="dxa"/>
          </w:tcPr>
          <w:p w14:paraId="3E2B52BE" w14:textId="6AD8135A" w:rsidR="6338453E" w:rsidRPr="00B820A4" w:rsidRDefault="5C3C2AAF" w:rsidP="00B820A4">
            <w:pPr>
              <w:spacing w:line="276" w:lineRule="auto"/>
              <w:ind w:firstLine="8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Peso (kg)</w:t>
            </w:r>
          </w:p>
        </w:tc>
        <w:tc>
          <w:tcPr>
            <w:tcW w:w="903" w:type="dxa"/>
          </w:tcPr>
          <w:p w14:paraId="12F7F825" w14:textId="03EC37A1" w:rsidR="6338453E" w:rsidRPr="00B820A4" w:rsidRDefault="5C3C2AAF" w:rsidP="00B820A4">
            <w:pPr>
              <w:spacing w:line="276" w:lineRule="auto"/>
              <w:ind w:firstLine="8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&gt; </w:t>
            </w:r>
          </w:p>
        </w:tc>
        <w:tc>
          <w:tcPr>
            <w:tcW w:w="903" w:type="dxa"/>
          </w:tcPr>
          <w:p w14:paraId="3B59E9F1" w14:textId="204953B4" w:rsidR="6338453E" w:rsidRPr="00B820A4" w:rsidRDefault="5C3C2AAF" w:rsidP="00B820A4">
            <w:pPr>
              <w:spacing w:line="276" w:lineRule="auto"/>
              <w:ind w:firstLine="8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&lt; </w:t>
            </w:r>
          </w:p>
        </w:tc>
        <w:tc>
          <w:tcPr>
            <w:tcW w:w="903" w:type="dxa"/>
          </w:tcPr>
          <w:p w14:paraId="5B6A741A" w14:textId="4AF0B19A" w:rsidR="6338453E" w:rsidRPr="00B820A4" w:rsidRDefault="5C3C2AAF" w:rsidP="00B820A4">
            <w:pPr>
              <w:spacing w:line="276" w:lineRule="auto"/>
              <w:ind w:firstLine="8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Altura (cm)</w:t>
            </w:r>
          </w:p>
        </w:tc>
        <w:tc>
          <w:tcPr>
            <w:tcW w:w="903" w:type="dxa"/>
          </w:tcPr>
          <w:p w14:paraId="1114F817" w14:textId="4ABFC57E" w:rsidR="6338453E" w:rsidRPr="00B820A4" w:rsidRDefault="5C3C2AAF" w:rsidP="00B820A4">
            <w:pPr>
              <w:spacing w:line="276" w:lineRule="auto"/>
              <w:ind w:firstLine="8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&gt; </w:t>
            </w:r>
          </w:p>
        </w:tc>
        <w:tc>
          <w:tcPr>
            <w:tcW w:w="903" w:type="dxa"/>
          </w:tcPr>
          <w:p w14:paraId="0ADDE46D" w14:textId="6A10065F" w:rsidR="6338453E" w:rsidRPr="00B820A4" w:rsidRDefault="5C3C2AAF" w:rsidP="00B820A4">
            <w:pPr>
              <w:spacing w:line="276" w:lineRule="auto"/>
              <w:ind w:firstLine="8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&lt; </w:t>
            </w:r>
          </w:p>
        </w:tc>
        <w:tc>
          <w:tcPr>
            <w:tcW w:w="903" w:type="dxa"/>
          </w:tcPr>
          <w:p w14:paraId="0EDEB30A" w14:textId="446CCFB4" w:rsidR="6338453E" w:rsidRPr="00B820A4" w:rsidRDefault="5C3C2AAF" w:rsidP="00B820A4">
            <w:pPr>
              <w:spacing w:line="276" w:lineRule="auto"/>
              <w:ind w:firstLine="8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CC (cm)</w:t>
            </w:r>
          </w:p>
        </w:tc>
        <w:tc>
          <w:tcPr>
            <w:tcW w:w="903" w:type="dxa"/>
          </w:tcPr>
          <w:p w14:paraId="1F80DE6A" w14:textId="6899C9F9" w:rsidR="6338453E" w:rsidRPr="00B820A4" w:rsidRDefault="5C3C2AAF" w:rsidP="00B820A4">
            <w:pPr>
              <w:spacing w:line="276" w:lineRule="auto"/>
              <w:ind w:firstLine="8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&gt; </w:t>
            </w:r>
          </w:p>
        </w:tc>
        <w:tc>
          <w:tcPr>
            <w:tcW w:w="903" w:type="dxa"/>
          </w:tcPr>
          <w:p w14:paraId="6EE17FBD" w14:textId="1C303F10" w:rsidR="6338453E" w:rsidRPr="00B820A4" w:rsidRDefault="5C3C2AAF" w:rsidP="00B820A4">
            <w:pPr>
              <w:spacing w:line="276" w:lineRule="auto"/>
              <w:ind w:firstLine="85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&lt; </w:t>
            </w:r>
          </w:p>
        </w:tc>
      </w:tr>
      <w:tr w:rsidR="6338453E" w:rsidRPr="00B820A4" w14:paraId="57BBD9D8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3EB2F0E9" w14:textId="40C13FB6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903" w:type="dxa"/>
          </w:tcPr>
          <w:p w14:paraId="3B587D98" w14:textId="5C4338C3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Masculino</w:t>
            </w:r>
          </w:p>
        </w:tc>
        <w:tc>
          <w:tcPr>
            <w:tcW w:w="903" w:type="dxa"/>
          </w:tcPr>
          <w:p w14:paraId="17369437" w14:textId="7CAF63FE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671C6384" w14:textId="15D417BA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42B577C3" w14:textId="4816F969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5DFB1A71" w14:textId="11E322EB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6851C47C" w14:textId="3529E09F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0F1040C5" w14:textId="6E34D792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7E72F9D1" w14:textId="34129268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3852EAC2" w14:textId="47541779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6338453E" w:rsidRPr="00B820A4" w14:paraId="7AEEEA13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12EE7B65" w14:textId="62C7CA1E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AGRO</w:t>
            </w:r>
          </w:p>
        </w:tc>
        <w:tc>
          <w:tcPr>
            <w:tcW w:w="903" w:type="dxa"/>
          </w:tcPr>
          <w:p w14:paraId="08391904" w14:textId="4913B4EF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74,5 ± 21,4</w:t>
            </w:r>
          </w:p>
        </w:tc>
        <w:tc>
          <w:tcPr>
            <w:tcW w:w="903" w:type="dxa"/>
          </w:tcPr>
          <w:p w14:paraId="3E9BCAF8" w14:textId="22BD6A40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128,3</w:t>
            </w:r>
          </w:p>
        </w:tc>
        <w:tc>
          <w:tcPr>
            <w:tcW w:w="903" w:type="dxa"/>
          </w:tcPr>
          <w:p w14:paraId="395029F2" w14:textId="3504D3BA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39,7</w:t>
            </w:r>
          </w:p>
        </w:tc>
        <w:tc>
          <w:tcPr>
            <w:tcW w:w="903" w:type="dxa"/>
          </w:tcPr>
          <w:p w14:paraId="06076D61" w14:textId="1A116371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174,8 ± 6,4 </w:t>
            </w:r>
          </w:p>
        </w:tc>
        <w:tc>
          <w:tcPr>
            <w:tcW w:w="903" w:type="dxa"/>
          </w:tcPr>
          <w:p w14:paraId="6C47E105" w14:textId="5C6465DA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188,0</w:t>
            </w:r>
          </w:p>
        </w:tc>
        <w:tc>
          <w:tcPr>
            <w:tcW w:w="903" w:type="dxa"/>
          </w:tcPr>
          <w:p w14:paraId="15B0C12E" w14:textId="019AA2B5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154,5</w:t>
            </w:r>
          </w:p>
        </w:tc>
        <w:tc>
          <w:tcPr>
            <w:tcW w:w="903" w:type="dxa"/>
          </w:tcPr>
          <w:p w14:paraId="0ED74A95" w14:textId="1FDA2C19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81,6  ± 10,0 </w:t>
            </w:r>
          </w:p>
        </w:tc>
        <w:tc>
          <w:tcPr>
            <w:tcW w:w="903" w:type="dxa"/>
          </w:tcPr>
          <w:p w14:paraId="5394EF7F" w14:textId="34DEFD22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112,0</w:t>
            </w:r>
          </w:p>
        </w:tc>
        <w:tc>
          <w:tcPr>
            <w:tcW w:w="903" w:type="dxa"/>
          </w:tcPr>
          <w:p w14:paraId="26BD9AFF" w14:textId="6E472B14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63,5</w:t>
            </w:r>
          </w:p>
        </w:tc>
      </w:tr>
      <w:tr w:rsidR="6338453E" w:rsidRPr="00B820A4" w14:paraId="219DE479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556E6E39" w14:textId="5F41E80A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INFO</w:t>
            </w:r>
          </w:p>
        </w:tc>
        <w:tc>
          <w:tcPr>
            <w:tcW w:w="903" w:type="dxa"/>
          </w:tcPr>
          <w:p w14:paraId="702606B2" w14:textId="4D720B78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63,8 ± 11,1</w:t>
            </w:r>
          </w:p>
        </w:tc>
        <w:tc>
          <w:tcPr>
            <w:tcW w:w="903" w:type="dxa"/>
          </w:tcPr>
          <w:p w14:paraId="11EFF6C7" w14:textId="5387A9BB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88,3</w:t>
            </w:r>
          </w:p>
        </w:tc>
        <w:tc>
          <w:tcPr>
            <w:tcW w:w="903" w:type="dxa"/>
          </w:tcPr>
          <w:p w14:paraId="061224D1" w14:textId="7EC04D64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35,7</w:t>
            </w:r>
          </w:p>
        </w:tc>
        <w:tc>
          <w:tcPr>
            <w:tcW w:w="903" w:type="dxa"/>
          </w:tcPr>
          <w:p w14:paraId="07A3F42B" w14:textId="7482F07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170,8 ± 6,6</w:t>
            </w:r>
          </w:p>
        </w:tc>
        <w:tc>
          <w:tcPr>
            <w:tcW w:w="903" w:type="dxa"/>
          </w:tcPr>
          <w:p w14:paraId="436F7FE5" w14:textId="79CC0CD3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183,2</w:t>
            </w:r>
          </w:p>
        </w:tc>
        <w:tc>
          <w:tcPr>
            <w:tcW w:w="903" w:type="dxa"/>
          </w:tcPr>
          <w:p w14:paraId="29B777C0" w14:textId="76A00CB6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151,0</w:t>
            </w:r>
          </w:p>
        </w:tc>
        <w:tc>
          <w:tcPr>
            <w:tcW w:w="903" w:type="dxa"/>
          </w:tcPr>
          <w:p w14:paraId="4B2AE424" w14:textId="217FA720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77,9 ± 8,7</w:t>
            </w:r>
          </w:p>
        </w:tc>
        <w:tc>
          <w:tcPr>
            <w:tcW w:w="903" w:type="dxa"/>
          </w:tcPr>
          <w:p w14:paraId="613A8852" w14:textId="1B05ADA4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100,0</w:t>
            </w:r>
          </w:p>
        </w:tc>
        <w:tc>
          <w:tcPr>
            <w:tcW w:w="903" w:type="dxa"/>
          </w:tcPr>
          <w:p w14:paraId="3336D747" w14:textId="1F58F20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64,0</w:t>
            </w:r>
          </w:p>
        </w:tc>
      </w:tr>
      <w:tr w:rsidR="6338453E" w:rsidRPr="00B820A4" w14:paraId="247F0177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3AEB17F1" w14:textId="1EDAFF85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MA</w:t>
            </w:r>
          </w:p>
        </w:tc>
        <w:tc>
          <w:tcPr>
            <w:tcW w:w="903" w:type="dxa"/>
          </w:tcPr>
          <w:p w14:paraId="1CB81F1F" w14:textId="05945B4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64,5 ± 12,5</w:t>
            </w:r>
          </w:p>
        </w:tc>
        <w:tc>
          <w:tcPr>
            <w:tcW w:w="903" w:type="dxa"/>
          </w:tcPr>
          <w:p w14:paraId="5ED47C21" w14:textId="02610A42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89,3</w:t>
            </w:r>
          </w:p>
        </w:tc>
        <w:tc>
          <w:tcPr>
            <w:tcW w:w="903" w:type="dxa"/>
          </w:tcPr>
          <w:p w14:paraId="22410179" w14:textId="2571650B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47,3</w:t>
            </w:r>
          </w:p>
        </w:tc>
        <w:tc>
          <w:tcPr>
            <w:tcW w:w="903" w:type="dxa"/>
          </w:tcPr>
          <w:p w14:paraId="12327FF4" w14:textId="722D3A67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172,5 ± 7,3</w:t>
            </w:r>
          </w:p>
        </w:tc>
        <w:tc>
          <w:tcPr>
            <w:tcW w:w="903" w:type="dxa"/>
          </w:tcPr>
          <w:p w14:paraId="7445EF83" w14:textId="276EFE9F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185,4</w:t>
            </w:r>
          </w:p>
        </w:tc>
        <w:tc>
          <w:tcPr>
            <w:tcW w:w="903" w:type="dxa"/>
          </w:tcPr>
          <w:p w14:paraId="4028CEA9" w14:textId="768AEADF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162,0</w:t>
            </w:r>
          </w:p>
        </w:tc>
        <w:tc>
          <w:tcPr>
            <w:tcW w:w="903" w:type="dxa"/>
          </w:tcPr>
          <w:p w14:paraId="68B01018" w14:textId="0E3A883B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77,1 ± 10,4</w:t>
            </w:r>
          </w:p>
        </w:tc>
        <w:tc>
          <w:tcPr>
            <w:tcW w:w="903" w:type="dxa"/>
          </w:tcPr>
          <w:p w14:paraId="1ED5432B" w14:textId="5C366F62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104,0</w:t>
            </w:r>
          </w:p>
        </w:tc>
        <w:tc>
          <w:tcPr>
            <w:tcW w:w="903" w:type="dxa"/>
          </w:tcPr>
          <w:p w14:paraId="76A0E39F" w14:textId="22AEEAE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65,0</w:t>
            </w:r>
          </w:p>
        </w:tc>
      </w:tr>
      <w:tr w:rsidR="6338453E" w:rsidRPr="00B820A4" w14:paraId="71D1C27C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321B97B7" w14:textId="7152EAB4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ALIM</w:t>
            </w:r>
          </w:p>
        </w:tc>
        <w:tc>
          <w:tcPr>
            <w:tcW w:w="903" w:type="dxa"/>
          </w:tcPr>
          <w:p w14:paraId="4D21D219" w14:textId="00B6E01F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64,1 ± 7,4</w:t>
            </w:r>
          </w:p>
        </w:tc>
        <w:tc>
          <w:tcPr>
            <w:tcW w:w="903" w:type="dxa"/>
          </w:tcPr>
          <w:p w14:paraId="40697AA6" w14:textId="19A2CF7F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72,5</w:t>
            </w:r>
          </w:p>
        </w:tc>
        <w:tc>
          <w:tcPr>
            <w:tcW w:w="903" w:type="dxa"/>
          </w:tcPr>
          <w:p w14:paraId="7B1AAA11" w14:textId="67175610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55,5</w:t>
            </w:r>
          </w:p>
        </w:tc>
        <w:tc>
          <w:tcPr>
            <w:tcW w:w="903" w:type="dxa"/>
          </w:tcPr>
          <w:p w14:paraId="33978739" w14:textId="0E69DF55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169,6 ± 6,6</w:t>
            </w:r>
          </w:p>
        </w:tc>
        <w:tc>
          <w:tcPr>
            <w:tcW w:w="903" w:type="dxa"/>
          </w:tcPr>
          <w:p w14:paraId="1A33E8B5" w14:textId="0A35C433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179,2</w:t>
            </w:r>
          </w:p>
        </w:tc>
        <w:tc>
          <w:tcPr>
            <w:tcW w:w="903" w:type="dxa"/>
          </w:tcPr>
          <w:p w14:paraId="145D6620" w14:textId="78EAE14E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164,5</w:t>
            </w:r>
          </w:p>
        </w:tc>
        <w:tc>
          <w:tcPr>
            <w:tcW w:w="903" w:type="dxa"/>
          </w:tcPr>
          <w:p w14:paraId="2C0A3BDB" w14:textId="542A5E9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77,0 ± 6,1</w:t>
            </w:r>
          </w:p>
        </w:tc>
        <w:tc>
          <w:tcPr>
            <w:tcW w:w="903" w:type="dxa"/>
          </w:tcPr>
          <w:p w14:paraId="283EA2CF" w14:textId="4D308FA8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86,0</w:t>
            </w:r>
          </w:p>
        </w:tc>
        <w:tc>
          <w:tcPr>
            <w:tcW w:w="903" w:type="dxa"/>
          </w:tcPr>
          <w:p w14:paraId="7D8FD308" w14:textId="50C8F2F1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73,0</w:t>
            </w:r>
          </w:p>
        </w:tc>
      </w:tr>
      <w:tr w:rsidR="6338453E" w:rsidRPr="00B820A4" w14:paraId="3B0F4DE4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1D387984" w14:textId="0B194A30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903" w:type="dxa"/>
          </w:tcPr>
          <w:p w14:paraId="21844AE1" w14:textId="00B9F4D1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Feminino</w:t>
            </w:r>
          </w:p>
        </w:tc>
        <w:tc>
          <w:tcPr>
            <w:tcW w:w="903" w:type="dxa"/>
          </w:tcPr>
          <w:p w14:paraId="72C542AA" w14:textId="4715AA5D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06EEE92F" w14:textId="34BB5CF8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5EDDAEC6" w14:textId="69278BE8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04AA4BBA" w14:textId="031EF58B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129C86CD" w14:textId="5748A385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74E059A4" w14:textId="10CF3D75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7294CBE9" w14:textId="767951E7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03" w:type="dxa"/>
          </w:tcPr>
          <w:p w14:paraId="44192135" w14:textId="20DCB3FF" w:rsidR="6338453E" w:rsidRPr="00B820A4" w:rsidRDefault="6338453E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6338453E" w:rsidRPr="00B820A4" w14:paraId="19C25805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1DEA4510" w14:textId="13BCD291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lastRenderedPageBreak/>
              <w:t>AGRO</w:t>
            </w:r>
          </w:p>
        </w:tc>
        <w:tc>
          <w:tcPr>
            <w:tcW w:w="903" w:type="dxa"/>
          </w:tcPr>
          <w:p w14:paraId="084793CD" w14:textId="7CFCF342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57,2 ± 12,2</w:t>
            </w:r>
          </w:p>
        </w:tc>
        <w:tc>
          <w:tcPr>
            <w:tcW w:w="903" w:type="dxa"/>
          </w:tcPr>
          <w:p w14:paraId="5CF174F2" w14:textId="7DE644B2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105,5</w:t>
            </w:r>
          </w:p>
        </w:tc>
        <w:tc>
          <w:tcPr>
            <w:tcW w:w="903" w:type="dxa"/>
          </w:tcPr>
          <w:p w14:paraId="18DD26A3" w14:textId="2F85656E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42,4</w:t>
            </w:r>
          </w:p>
        </w:tc>
        <w:tc>
          <w:tcPr>
            <w:tcW w:w="903" w:type="dxa"/>
          </w:tcPr>
          <w:p w14:paraId="5683B8C1" w14:textId="549446C9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161,1 ± 6,2</w:t>
            </w:r>
          </w:p>
        </w:tc>
        <w:tc>
          <w:tcPr>
            <w:tcW w:w="903" w:type="dxa"/>
          </w:tcPr>
          <w:p w14:paraId="6E74F278" w14:textId="53EBE2E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175,5</w:t>
            </w:r>
          </w:p>
        </w:tc>
        <w:tc>
          <w:tcPr>
            <w:tcW w:w="903" w:type="dxa"/>
          </w:tcPr>
          <w:p w14:paraId="07CC0917" w14:textId="699C7ECC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149,0</w:t>
            </w:r>
          </w:p>
        </w:tc>
        <w:tc>
          <w:tcPr>
            <w:tcW w:w="903" w:type="dxa"/>
          </w:tcPr>
          <w:p w14:paraId="2ADED3CE" w14:textId="056F58A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76,0 ± 9,4</w:t>
            </w:r>
          </w:p>
        </w:tc>
        <w:tc>
          <w:tcPr>
            <w:tcW w:w="903" w:type="dxa"/>
          </w:tcPr>
          <w:p w14:paraId="491EF45B" w14:textId="678C19D7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111,0</w:t>
            </w:r>
          </w:p>
        </w:tc>
        <w:tc>
          <w:tcPr>
            <w:tcW w:w="903" w:type="dxa"/>
          </w:tcPr>
          <w:p w14:paraId="4D0DE276" w14:textId="79B0568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61,0</w:t>
            </w:r>
          </w:p>
        </w:tc>
      </w:tr>
      <w:tr w:rsidR="6338453E" w:rsidRPr="00B820A4" w14:paraId="2D9B95FD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0746BF74" w14:textId="7496BC75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INFO</w:t>
            </w:r>
          </w:p>
        </w:tc>
        <w:tc>
          <w:tcPr>
            <w:tcW w:w="903" w:type="dxa"/>
          </w:tcPr>
          <w:p w14:paraId="53702358" w14:textId="09D04005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58,6 ± 10,8</w:t>
            </w:r>
          </w:p>
        </w:tc>
        <w:tc>
          <w:tcPr>
            <w:tcW w:w="903" w:type="dxa"/>
          </w:tcPr>
          <w:p w14:paraId="2BF95851" w14:textId="121F7E10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85,6</w:t>
            </w:r>
          </w:p>
        </w:tc>
        <w:tc>
          <w:tcPr>
            <w:tcW w:w="903" w:type="dxa"/>
          </w:tcPr>
          <w:p w14:paraId="6346FAB5" w14:textId="1D024FB0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44,4</w:t>
            </w:r>
          </w:p>
        </w:tc>
        <w:tc>
          <w:tcPr>
            <w:tcW w:w="903" w:type="dxa"/>
          </w:tcPr>
          <w:p w14:paraId="24EC90FD" w14:textId="33E077FE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163,3 ± 5,6</w:t>
            </w:r>
          </w:p>
        </w:tc>
        <w:tc>
          <w:tcPr>
            <w:tcW w:w="903" w:type="dxa"/>
          </w:tcPr>
          <w:p w14:paraId="1E265596" w14:textId="19BA7679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177,0</w:t>
            </w:r>
          </w:p>
        </w:tc>
        <w:tc>
          <w:tcPr>
            <w:tcW w:w="903" w:type="dxa"/>
          </w:tcPr>
          <w:p w14:paraId="70518A6B" w14:textId="394E2D7A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155,0</w:t>
            </w:r>
          </w:p>
        </w:tc>
        <w:tc>
          <w:tcPr>
            <w:tcW w:w="903" w:type="dxa"/>
          </w:tcPr>
          <w:p w14:paraId="7548DCDB" w14:textId="54CB56BE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77,6 ± 9,7</w:t>
            </w:r>
          </w:p>
        </w:tc>
        <w:tc>
          <w:tcPr>
            <w:tcW w:w="903" w:type="dxa"/>
          </w:tcPr>
          <w:p w14:paraId="7BB002E2" w14:textId="13C29750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98,0</w:t>
            </w:r>
          </w:p>
        </w:tc>
        <w:tc>
          <w:tcPr>
            <w:tcW w:w="903" w:type="dxa"/>
          </w:tcPr>
          <w:p w14:paraId="377C03C7" w14:textId="3426EA26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64,0</w:t>
            </w:r>
          </w:p>
        </w:tc>
      </w:tr>
      <w:tr w:rsidR="6338453E" w:rsidRPr="00B820A4" w14:paraId="24E7066C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0201AC7D" w14:textId="0329DCF7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MA</w:t>
            </w:r>
          </w:p>
        </w:tc>
        <w:tc>
          <w:tcPr>
            <w:tcW w:w="903" w:type="dxa"/>
          </w:tcPr>
          <w:p w14:paraId="380CF3CC" w14:textId="405E543E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53,1 ± 9,0</w:t>
            </w:r>
          </w:p>
        </w:tc>
        <w:tc>
          <w:tcPr>
            <w:tcW w:w="903" w:type="dxa"/>
          </w:tcPr>
          <w:p w14:paraId="793C2077" w14:textId="38E6CF02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81,2</w:t>
            </w:r>
          </w:p>
        </w:tc>
        <w:tc>
          <w:tcPr>
            <w:tcW w:w="903" w:type="dxa"/>
          </w:tcPr>
          <w:p w14:paraId="10E56E28" w14:textId="3906A56A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41,7</w:t>
            </w:r>
          </w:p>
        </w:tc>
        <w:tc>
          <w:tcPr>
            <w:tcW w:w="903" w:type="dxa"/>
          </w:tcPr>
          <w:p w14:paraId="60F3898D" w14:textId="23B131A3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159,8 ± 5,9</w:t>
            </w:r>
          </w:p>
        </w:tc>
        <w:tc>
          <w:tcPr>
            <w:tcW w:w="903" w:type="dxa"/>
          </w:tcPr>
          <w:p w14:paraId="5D79F01D" w14:textId="5FDAB86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170,0</w:t>
            </w:r>
          </w:p>
        </w:tc>
        <w:tc>
          <w:tcPr>
            <w:tcW w:w="903" w:type="dxa"/>
          </w:tcPr>
          <w:p w14:paraId="7EB54245" w14:textId="3E8456EB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146,5</w:t>
            </w:r>
          </w:p>
        </w:tc>
        <w:tc>
          <w:tcPr>
            <w:tcW w:w="903" w:type="dxa"/>
          </w:tcPr>
          <w:p w14:paraId="16284075" w14:textId="2A94E692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71,4 ± 8,4</w:t>
            </w:r>
          </w:p>
        </w:tc>
        <w:tc>
          <w:tcPr>
            <w:tcW w:w="903" w:type="dxa"/>
          </w:tcPr>
          <w:p w14:paraId="7EA4A0C6" w14:textId="7F0AEDB5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92,0</w:t>
            </w:r>
          </w:p>
        </w:tc>
        <w:tc>
          <w:tcPr>
            <w:tcW w:w="903" w:type="dxa"/>
          </w:tcPr>
          <w:p w14:paraId="7D9D39C7" w14:textId="693320ED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59,0</w:t>
            </w:r>
          </w:p>
        </w:tc>
      </w:tr>
      <w:tr w:rsidR="6338453E" w:rsidRPr="00B820A4" w14:paraId="11CE6EB4" w14:textId="77777777" w:rsidTr="5C3C2A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14:paraId="3C625F0D" w14:textId="21BF8308" w:rsidR="6338453E" w:rsidRPr="00B820A4" w:rsidRDefault="5C3C2AAF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ALIM</w:t>
            </w:r>
          </w:p>
        </w:tc>
        <w:tc>
          <w:tcPr>
            <w:tcW w:w="903" w:type="dxa"/>
          </w:tcPr>
          <w:p w14:paraId="6E65BCB9" w14:textId="76359941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50,3 ± 4,1</w:t>
            </w:r>
          </w:p>
        </w:tc>
        <w:tc>
          <w:tcPr>
            <w:tcW w:w="903" w:type="dxa"/>
          </w:tcPr>
          <w:p w14:paraId="7D9717F3" w14:textId="61BE7F52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57,0</w:t>
            </w:r>
          </w:p>
        </w:tc>
        <w:tc>
          <w:tcPr>
            <w:tcW w:w="903" w:type="dxa"/>
          </w:tcPr>
          <w:p w14:paraId="7E5146A4" w14:textId="717AB088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44,6</w:t>
            </w:r>
          </w:p>
        </w:tc>
        <w:tc>
          <w:tcPr>
            <w:tcW w:w="903" w:type="dxa"/>
          </w:tcPr>
          <w:p w14:paraId="6334EA6F" w14:textId="017410B1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155,5 ± 4,6</w:t>
            </w:r>
          </w:p>
        </w:tc>
        <w:tc>
          <w:tcPr>
            <w:tcW w:w="903" w:type="dxa"/>
          </w:tcPr>
          <w:p w14:paraId="59B75056" w14:textId="2E711232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164,0</w:t>
            </w:r>
          </w:p>
        </w:tc>
        <w:tc>
          <w:tcPr>
            <w:tcW w:w="903" w:type="dxa"/>
          </w:tcPr>
          <w:p w14:paraId="673E326F" w14:textId="79BF0CB0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148,5</w:t>
            </w:r>
          </w:p>
        </w:tc>
        <w:tc>
          <w:tcPr>
            <w:tcW w:w="903" w:type="dxa"/>
          </w:tcPr>
          <w:p w14:paraId="2440133E" w14:textId="7EAC22C0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71,3 ± 4,0</w:t>
            </w:r>
          </w:p>
        </w:tc>
        <w:tc>
          <w:tcPr>
            <w:tcW w:w="903" w:type="dxa"/>
          </w:tcPr>
          <w:p w14:paraId="120EA60E" w14:textId="55A02B54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79,0</w:t>
            </w:r>
          </w:p>
        </w:tc>
        <w:tc>
          <w:tcPr>
            <w:tcW w:w="903" w:type="dxa"/>
          </w:tcPr>
          <w:p w14:paraId="182B4F7B" w14:textId="259A7EEE" w:rsidR="6338453E" w:rsidRPr="00B820A4" w:rsidRDefault="5C3C2AAF" w:rsidP="00B820A4">
            <w:pPr>
              <w:spacing w:line="276" w:lineRule="auto"/>
              <w:ind w:firstLine="85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sz w:val="24"/>
                <w:szCs w:val="24"/>
              </w:rPr>
              <w:t>66,0</w:t>
            </w:r>
          </w:p>
        </w:tc>
      </w:tr>
    </w:tbl>
    <w:p w14:paraId="180A0962" w14:textId="7F618793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>AGRO = Técnico em Agropecuária; INFO = Técnico em Informática; MA = Técnico em Meio Ambiente; ALIM = Técnico em Alimentos.</w:t>
      </w:r>
    </w:p>
    <w:p w14:paraId="686E92EC" w14:textId="5BC500A7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 xml:space="preserve"> </w:t>
      </w:r>
    </w:p>
    <w:tbl>
      <w:tblPr>
        <w:tblStyle w:val="TabeladeGrade1Clara-nfase11"/>
        <w:tblW w:w="0" w:type="auto"/>
        <w:tblLook w:val="04A0" w:firstRow="1" w:lastRow="0" w:firstColumn="1" w:lastColumn="0" w:noHBand="0" w:noVBand="1"/>
      </w:tblPr>
      <w:tblGrid>
        <w:gridCol w:w="9026"/>
      </w:tblGrid>
      <w:tr w:rsidR="6338453E" w:rsidRPr="00B820A4" w14:paraId="6DBF534A" w14:textId="77777777" w:rsidTr="5C3C2A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</w:tcPr>
          <w:p w14:paraId="7B5111EC" w14:textId="697170A5" w:rsidR="6338453E" w:rsidRPr="00B820A4" w:rsidRDefault="6338453E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AD84032" wp14:editId="4C9C1F9E">
                  <wp:extent cx="2162175" cy="1571625"/>
                  <wp:effectExtent l="0" t="0" r="0" b="0"/>
                  <wp:docPr id="7332663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3D18A" w14:textId="44E4C798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Figura 2. Classificação da circunferência da cintura dos alunos por curso e por sexo. </w:t>
      </w:r>
    </w:p>
    <w:p w14:paraId="36AFE825" w14:textId="4FDF1E67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 </w:t>
      </w:r>
    </w:p>
    <w:p w14:paraId="52262A06" w14:textId="19C03BA8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O cálculo do IMC permitiu classificar o estado nutricional dos alunos (Baixo, Ideal ou Alto) e também a frequência em que cada está presente entre os pesquisados (Figura 2). Em todos os cursos pesquisados cerca de 70% dos alunos apresentam-se dentro da faixa considerada ideal para o estado nutricional determinado em função do IMC e 30% fora do ideal, sendo destes 13% abaixo e 17% acima do ideal. Individualmente, o curso Técnico em Alimentos é o que apresenta o maior percentual de alunos na faixa da idealidade (100% dos alunos e 85,7% das alunas), o que indica entre os alunos investigados um relativo equilíbrio em relação ao estado nutricional. Já o curso de Agropecuária é o que apresenta menor número de alunos dentro do peso ideal (66%). Considerando os desvios da idealidade (baixo ou alto), observou-se que 55,2% dos </w:t>
      </w:r>
      <w:proofErr w:type="spellStart"/>
      <w:r w:rsidRPr="00B820A4">
        <w:rPr>
          <w:rFonts w:asciiTheme="majorHAnsi" w:eastAsia="Calibri" w:hAnsiTheme="majorHAnsi" w:cs="Calibri"/>
          <w:sz w:val="24"/>
          <w:szCs w:val="24"/>
        </w:rPr>
        <w:t>IMC’s</w:t>
      </w:r>
      <w:proofErr w:type="spellEnd"/>
      <w:r w:rsidRPr="00B820A4">
        <w:rPr>
          <w:rFonts w:asciiTheme="majorHAnsi" w:eastAsia="Calibri" w:hAnsiTheme="majorHAnsi" w:cs="Calibri"/>
          <w:sz w:val="24"/>
          <w:szCs w:val="24"/>
        </w:rPr>
        <w:t xml:space="preserve"> abaixo do ideal referem-se a estudantes do sexo feminino e 67,6% dos </w:t>
      </w:r>
      <w:proofErr w:type="spellStart"/>
      <w:r w:rsidRPr="00B820A4">
        <w:rPr>
          <w:rFonts w:asciiTheme="majorHAnsi" w:eastAsia="Calibri" w:hAnsiTheme="majorHAnsi" w:cs="Calibri"/>
          <w:sz w:val="24"/>
          <w:szCs w:val="24"/>
        </w:rPr>
        <w:t>IMC’s</w:t>
      </w:r>
      <w:proofErr w:type="spellEnd"/>
      <w:r w:rsidRPr="00B820A4">
        <w:rPr>
          <w:rFonts w:asciiTheme="majorHAnsi" w:eastAsia="Calibri" w:hAnsiTheme="majorHAnsi" w:cs="Calibri"/>
          <w:sz w:val="24"/>
          <w:szCs w:val="24"/>
        </w:rPr>
        <w:t xml:space="preserve"> altos, que estão relacionados à pessoas com sobrepeso ou obesas, são estudantes do sexo masculino.</w:t>
      </w:r>
    </w:p>
    <w:p w14:paraId="292CDF97" w14:textId="7F9E020A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 </w:t>
      </w:r>
    </w:p>
    <w:tbl>
      <w:tblPr>
        <w:tblStyle w:val="TabeladeGrade1Clara-nfase11"/>
        <w:tblW w:w="9026" w:type="dxa"/>
        <w:tblInd w:w="795" w:type="dxa"/>
        <w:tblLook w:val="04A0" w:firstRow="1" w:lastRow="0" w:firstColumn="1" w:lastColumn="0" w:noHBand="0" w:noVBand="1"/>
      </w:tblPr>
      <w:tblGrid>
        <w:gridCol w:w="9026"/>
      </w:tblGrid>
      <w:tr w:rsidR="6338453E" w:rsidRPr="00B820A4" w14:paraId="0BC8E31C" w14:textId="77777777" w:rsidTr="008417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</w:tcPr>
          <w:p w14:paraId="064367A3" w14:textId="501C2020" w:rsidR="6338453E" w:rsidRPr="00B820A4" w:rsidRDefault="008417E1" w:rsidP="00B820A4">
            <w:pPr>
              <w:spacing w:line="276" w:lineRule="auto"/>
              <w:ind w:firstLine="851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820A4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object w:dxaOrig="2117" w:dyaOrig="4320" w14:anchorId="0FDDEE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178.5pt" o:ole="">
                  <v:imagedata r:id="rId6" o:title=""/>
                </v:shape>
                <o:OLEObject Type="Embed" ProgID="PBrush" ShapeID="_x0000_i1025" DrawAspect="Content" ObjectID="_1528195893" r:id="rId7"/>
              </w:object>
            </w:r>
          </w:p>
        </w:tc>
      </w:tr>
    </w:tbl>
    <w:p w14:paraId="2746E74B" w14:textId="484480C2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Figura 2. Distribuição de frequências para o índice de massa corpórea (IMC) para os cursos Técnicos Integrados em Agropecuária (a), Informática (b), Meio Ambiente (c) e Alimentos (d), classificado em baixo (IMC &lt; 18,5 kg/m</w:t>
      </w: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>2</w:t>
      </w:r>
      <w:r w:rsidRPr="00B820A4">
        <w:rPr>
          <w:rFonts w:asciiTheme="majorHAnsi" w:eastAsia="Calibri" w:hAnsiTheme="majorHAnsi" w:cs="Calibri"/>
          <w:sz w:val="24"/>
          <w:szCs w:val="24"/>
        </w:rPr>
        <w:t>), ideal (18,5 kg/m</w:t>
      </w: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>2</w:t>
      </w:r>
      <w:r w:rsidRPr="00B820A4">
        <w:rPr>
          <w:rFonts w:asciiTheme="majorHAnsi" w:eastAsia="Calibri" w:hAnsiTheme="majorHAnsi" w:cs="Calibri"/>
          <w:sz w:val="24"/>
          <w:szCs w:val="24"/>
        </w:rPr>
        <w:t>&lt; IMC &lt; 25,0 kg/m</w:t>
      </w: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>2</w:t>
      </w:r>
      <w:r w:rsidRPr="00B820A4">
        <w:rPr>
          <w:rFonts w:asciiTheme="majorHAnsi" w:eastAsia="Calibri" w:hAnsiTheme="majorHAnsi" w:cs="Calibri"/>
          <w:sz w:val="24"/>
          <w:szCs w:val="24"/>
        </w:rPr>
        <w:t>) e alto (IMC &gt; 25,0 kg/m</w:t>
      </w:r>
      <w:r w:rsidRPr="00B820A4">
        <w:rPr>
          <w:rFonts w:asciiTheme="majorHAnsi" w:eastAsia="Calibri" w:hAnsiTheme="majorHAnsi" w:cs="Calibri"/>
          <w:sz w:val="24"/>
          <w:szCs w:val="24"/>
          <w:vertAlign w:val="superscript"/>
        </w:rPr>
        <w:t>2</w:t>
      </w:r>
      <w:r w:rsidRPr="00B820A4">
        <w:rPr>
          <w:rFonts w:asciiTheme="majorHAnsi" w:eastAsia="Calibri" w:hAnsiTheme="majorHAnsi" w:cs="Calibri"/>
          <w:sz w:val="24"/>
          <w:szCs w:val="24"/>
        </w:rPr>
        <w:t>) (GLANER et al., 2013).</w:t>
      </w:r>
    </w:p>
    <w:p w14:paraId="536E69B5" w14:textId="219EF77E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 </w:t>
      </w:r>
    </w:p>
    <w:p w14:paraId="60C8A18F" w14:textId="08F30E3E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Resultado similar foi encontrado no estudo de POLLA e SCHERER (2011), em que estudantes avaliados apresentaram 70% de alunos na faixa de IMC ideal. Porém, no estudo, praticamente não houve estudantes abaixo do ideal. Outros estudos têm apontado também para o elevado número de estudantes fora do peso e essa é uma tendência também observada em estudos ao longo do tempo. </w:t>
      </w:r>
    </w:p>
    <w:p w14:paraId="5EAEF82E" w14:textId="3AE7B3F7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b/>
          <w:bCs/>
          <w:sz w:val="24"/>
          <w:szCs w:val="24"/>
        </w:rPr>
        <w:t xml:space="preserve"> </w:t>
      </w:r>
    </w:p>
    <w:p w14:paraId="370CD7D0" w14:textId="5A6398AE" w:rsidR="6338453E" w:rsidRPr="00B820A4" w:rsidRDefault="5C3C2AAF" w:rsidP="00B820A4">
      <w:pPr>
        <w:spacing w:after="0" w:line="276" w:lineRule="auto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>CONCLUSÃO</w:t>
      </w:r>
    </w:p>
    <w:p w14:paraId="4883D82C" w14:textId="610206B0" w:rsidR="6338453E" w:rsidRPr="00B820A4" w:rsidRDefault="5C3C2AAF" w:rsidP="00B820A4">
      <w:pPr>
        <w:spacing w:after="0" w:line="276" w:lineRule="auto"/>
        <w:ind w:firstLine="708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Os cursos Técnicos integrados do IFTM </w:t>
      </w:r>
      <w:r w:rsidRPr="00B820A4">
        <w:rPr>
          <w:rFonts w:asciiTheme="majorHAnsi" w:eastAsia="Calibri" w:hAnsiTheme="majorHAnsi" w:cs="Calibri"/>
          <w:i/>
          <w:iCs/>
          <w:sz w:val="24"/>
          <w:szCs w:val="24"/>
        </w:rPr>
        <w:t>Campus</w:t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 Uberlândia têm alunos fora do IMC considerado </w:t>
      </w:r>
      <w:proofErr w:type="gramStart"/>
      <w:r w:rsidRPr="00B820A4">
        <w:rPr>
          <w:rFonts w:asciiTheme="majorHAnsi" w:eastAsia="Calibri" w:hAnsiTheme="majorHAnsi" w:cs="Calibri"/>
          <w:sz w:val="24"/>
          <w:szCs w:val="24"/>
        </w:rPr>
        <w:t xml:space="preserve">ideal.  </w:t>
      </w:r>
      <w:proofErr w:type="gramEnd"/>
      <w:r w:rsidR="00B820A4">
        <w:rPr>
          <w:rFonts w:asciiTheme="majorHAnsi" w:hAnsiTheme="majorHAnsi"/>
          <w:sz w:val="24"/>
          <w:szCs w:val="24"/>
        </w:rPr>
        <w:br/>
      </w:r>
    </w:p>
    <w:p w14:paraId="36CB8D64" w14:textId="6221E2D6" w:rsidR="6338453E" w:rsidRPr="00B820A4" w:rsidRDefault="5C3C2AAF" w:rsidP="00B820A4">
      <w:pPr>
        <w:spacing w:after="0" w:line="276" w:lineRule="auto"/>
        <w:ind w:firstLine="851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Calibri" w:hAnsiTheme="majorHAnsi" w:cs="Calibri"/>
          <w:sz w:val="24"/>
          <w:szCs w:val="24"/>
        </w:rPr>
        <w:t xml:space="preserve">Agradecimentos </w:t>
      </w:r>
      <w:r w:rsidR="6338453E" w:rsidRPr="00B820A4">
        <w:rPr>
          <w:rFonts w:asciiTheme="majorHAnsi" w:hAnsiTheme="majorHAnsi"/>
          <w:sz w:val="24"/>
          <w:szCs w:val="24"/>
        </w:rPr>
        <w:br/>
      </w:r>
      <w:r w:rsidR="6338453E" w:rsidRPr="00B820A4">
        <w:rPr>
          <w:rFonts w:asciiTheme="majorHAnsi" w:hAnsiTheme="majorHAnsi"/>
          <w:sz w:val="24"/>
          <w:szCs w:val="24"/>
        </w:rPr>
        <w:br/>
      </w:r>
      <w:r w:rsidRPr="00B820A4">
        <w:rPr>
          <w:rFonts w:asciiTheme="majorHAnsi" w:eastAsia="Calibri" w:hAnsiTheme="majorHAnsi" w:cs="Calibri"/>
          <w:b/>
          <w:bCs/>
          <w:sz w:val="24"/>
          <w:szCs w:val="24"/>
        </w:rPr>
        <w:t xml:space="preserve">           </w:t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 Aos alunos que voluntariamente se dispuseram a participar da pesquisa, aos servidores de alguma forma contribuíram para sua execução e ao IFTM – Campus Uberlândia por viabilizar o seu desenvolvimento.</w:t>
      </w:r>
      <w:r w:rsidR="00B820A4">
        <w:rPr>
          <w:rFonts w:asciiTheme="majorHAnsi" w:hAnsiTheme="majorHAnsi"/>
          <w:sz w:val="24"/>
          <w:szCs w:val="24"/>
        </w:rPr>
        <w:br/>
      </w:r>
    </w:p>
    <w:p w14:paraId="20C5B75C" w14:textId="490813AB" w:rsidR="6338453E" w:rsidRPr="00B820A4" w:rsidRDefault="5C3C2AAF" w:rsidP="00B820A4">
      <w:pPr>
        <w:spacing w:after="0" w:line="276" w:lineRule="auto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Theme="minorEastAsia" w:hAnsiTheme="majorHAnsi"/>
          <w:sz w:val="24"/>
          <w:szCs w:val="24"/>
        </w:rPr>
        <w:t>REFERÊNCIAS</w:t>
      </w:r>
      <w:r w:rsidR="6338453E" w:rsidRPr="00B820A4">
        <w:rPr>
          <w:rFonts w:asciiTheme="majorHAnsi" w:hAnsiTheme="majorHAnsi"/>
          <w:sz w:val="24"/>
          <w:szCs w:val="24"/>
        </w:rPr>
        <w:br/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FONSECA, V. de M.; SICHIERI, R.; VEIGA, G. V. da. Fatores associados à obesidade na adolescência. </w:t>
      </w:r>
      <w:r w:rsidRPr="00B820A4">
        <w:rPr>
          <w:rFonts w:asciiTheme="majorHAnsi" w:eastAsia="Calibri" w:hAnsiTheme="majorHAnsi" w:cs="Calibri"/>
          <w:b/>
          <w:bCs/>
          <w:sz w:val="24"/>
          <w:szCs w:val="24"/>
        </w:rPr>
        <w:t>Revista de Saúde Pública</w:t>
      </w:r>
      <w:r w:rsidRPr="00B820A4">
        <w:rPr>
          <w:rFonts w:asciiTheme="majorHAnsi" w:eastAsia="Calibri" w:hAnsiTheme="majorHAnsi" w:cs="Calibri"/>
          <w:sz w:val="24"/>
          <w:szCs w:val="24"/>
        </w:rPr>
        <w:t>, v. 22, n. 6, p. 541-9, 1998.</w:t>
      </w:r>
      <w:r w:rsidR="6338453E" w:rsidRPr="00B820A4">
        <w:rPr>
          <w:rFonts w:asciiTheme="majorHAnsi" w:hAnsiTheme="majorHAnsi"/>
          <w:sz w:val="24"/>
          <w:szCs w:val="24"/>
        </w:rPr>
        <w:br/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GAMBARDELLA, A. M. D.; FRUTUOSO, M. A. P.; FRANCH, C. Prática alimentar de adolescentes. </w:t>
      </w:r>
      <w:r w:rsidRPr="00B820A4">
        <w:rPr>
          <w:rFonts w:asciiTheme="majorHAnsi" w:eastAsia="Calibri" w:hAnsiTheme="majorHAnsi" w:cs="Calibri"/>
          <w:b/>
          <w:bCs/>
          <w:sz w:val="24"/>
          <w:szCs w:val="24"/>
        </w:rPr>
        <w:t>Revista de Nutrição</w:t>
      </w:r>
      <w:r w:rsidRPr="00B820A4">
        <w:rPr>
          <w:rFonts w:asciiTheme="majorHAnsi" w:eastAsia="Calibri" w:hAnsiTheme="majorHAnsi" w:cs="Calibri"/>
          <w:sz w:val="24"/>
          <w:szCs w:val="24"/>
        </w:rPr>
        <w:t>, v. 12, n. 1, p. 5-19, 1999.</w:t>
      </w:r>
      <w:r w:rsidR="6338453E" w:rsidRPr="00B820A4">
        <w:rPr>
          <w:rFonts w:asciiTheme="majorHAnsi" w:hAnsiTheme="majorHAnsi"/>
          <w:sz w:val="24"/>
          <w:szCs w:val="24"/>
        </w:rPr>
        <w:br/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GLANER, M. F.; PELEGRINI, A.; CORDOBA, C. O.; POZZOLON, M. E. Associação entre insatisfação com a imagem corporal e indicadores antropométricos em adolescentes. </w:t>
      </w:r>
      <w:r w:rsidRPr="00B820A4">
        <w:rPr>
          <w:rFonts w:asciiTheme="majorHAnsi" w:eastAsia="Calibri" w:hAnsiTheme="majorHAnsi" w:cs="Calibri"/>
          <w:b/>
          <w:bCs/>
          <w:sz w:val="24"/>
          <w:szCs w:val="24"/>
        </w:rPr>
        <w:t>Revista Brasileira de Educação Física e Esporte</w:t>
      </w:r>
      <w:r w:rsidRPr="00B820A4">
        <w:rPr>
          <w:rFonts w:asciiTheme="majorHAnsi" w:eastAsia="Calibri" w:hAnsiTheme="majorHAnsi" w:cs="Calibri"/>
          <w:sz w:val="24"/>
          <w:szCs w:val="24"/>
        </w:rPr>
        <w:t>, v. 27, n. 1, p. 129-36, 2013.</w:t>
      </w:r>
      <w:r w:rsidR="6338453E" w:rsidRPr="00B820A4">
        <w:rPr>
          <w:rFonts w:asciiTheme="majorHAnsi" w:hAnsiTheme="majorHAnsi"/>
          <w:sz w:val="24"/>
          <w:szCs w:val="24"/>
        </w:rPr>
        <w:br/>
      </w:r>
      <w:r w:rsidRPr="00B820A4">
        <w:rPr>
          <w:rFonts w:asciiTheme="majorHAnsi" w:eastAsia="Calibri" w:hAnsiTheme="majorHAnsi" w:cs="Calibri"/>
          <w:sz w:val="24"/>
          <w:szCs w:val="24"/>
        </w:rPr>
        <w:t xml:space="preserve">POLLA, S. F.; SCHERER, F. Perfil alimentar e nutricional de escolares da rede municipal de </w:t>
      </w:r>
      <w:r w:rsidRPr="00B820A4">
        <w:rPr>
          <w:rFonts w:asciiTheme="majorHAnsi" w:eastAsia="Calibri" w:hAnsiTheme="majorHAnsi" w:cs="Calibri"/>
          <w:sz w:val="24"/>
          <w:szCs w:val="24"/>
        </w:rPr>
        <w:lastRenderedPageBreak/>
        <w:t xml:space="preserve">ensino de um município do interior do Rio Grande do Sul. </w:t>
      </w:r>
      <w:r w:rsidRPr="00B820A4">
        <w:rPr>
          <w:rFonts w:asciiTheme="majorHAnsi" w:eastAsia="Calibri" w:hAnsiTheme="majorHAnsi" w:cs="Calibri"/>
          <w:b/>
          <w:bCs/>
          <w:sz w:val="24"/>
          <w:szCs w:val="24"/>
        </w:rPr>
        <w:t>Caderno de Saúde Pública</w:t>
      </w:r>
      <w:r w:rsidRPr="00B820A4">
        <w:rPr>
          <w:rFonts w:asciiTheme="majorHAnsi" w:eastAsia="Calibri" w:hAnsiTheme="majorHAnsi" w:cs="Calibri"/>
          <w:sz w:val="24"/>
          <w:szCs w:val="24"/>
        </w:rPr>
        <w:t>, v. 19, n. 1, p. 111-6, 2011.</w:t>
      </w:r>
    </w:p>
    <w:p w14:paraId="158FB181" w14:textId="0E9AC44D" w:rsidR="6338453E" w:rsidRPr="00B820A4" w:rsidRDefault="5C3C2AAF" w:rsidP="00B820A4">
      <w:pPr>
        <w:spacing w:after="0" w:line="276" w:lineRule="auto"/>
        <w:jc w:val="both"/>
        <w:rPr>
          <w:rFonts w:asciiTheme="majorHAnsi" w:hAnsiTheme="majorHAnsi"/>
          <w:sz w:val="24"/>
          <w:szCs w:val="24"/>
        </w:rPr>
      </w:pPr>
      <w:r w:rsidRPr="00B820A4">
        <w:rPr>
          <w:rFonts w:asciiTheme="majorHAnsi" w:eastAsia="Arial" w:hAnsiTheme="majorHAnsi" w:cs="Arial"/>
          <w:sz w:val="24"/>
          <w:szCs w:val="24"/>
        </w:rPr>
        <w:t xml:space="preserve">RIVERA, F. S. R.; SOUZA, E. M. T. de Consumo de alimentos de escolares de uma comunidade rural. </w:t>
      </w:r>
      <w:r w:rsidRPr="00B820A4">
        <w:rPr>
          <w:rFonts w:asciiTheme="majorHAnsi" w:eastAsia="Arial" w:hAnsiTheme="majorHAnsi" w:cs="Arial"/>
          <w:b/>
          <w:bCs/>
          <w:sz w:val="24"/>
          <w:szCs w:val="24"/>
        </w:rPr>
        <w:t>Comunicação em Ciências da Saúde</w:t>
      </w:r>
      <w:r w:rsidRPr="00B820A4">
        <w:rPr>
          <w:rFonts w:asciiTheme="majorHAnsi" w:eastAsia="Arial" w:hAnsiTheme="majorHAnsi" w:cs="Arial"/>
          <w:sz w:val="24"/>
          <w:szCs w:val="24"/>
        </w:rPr>
        <w:t>, v. 17, n. 2, p. 111-9, 2006.</w:t>
      </w:r>
    </w:p>
    <w:sectPr w:rsidR="6338453E" w:rsidRPr="00B820A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38453E"/>
    <w:rsid w:val="008417E1"/>
    <w:rsid w:val="00B820A4"/>
    <w:rsid w:val="2A8F2335"/>
    <w:rsid w:val="5C3C2AAF"/>
    <w:rsid w:val="6338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DA17CF"/>
  <w15:docId w15:val="{0B7630B0-408F-4D74-95E3-D57F2A393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1Clara-nfase11">
    <w:name w:val="Tabela de Grade 1 Clara - Ênfase 11"/>
    <w:basedOn w:val="Tabela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4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1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1630</Words>
  <Characters>8806</Characters>
  <Application>Microsoft Office Word</Application>
  <DocSecurity>0</DocSecurity>
  <Lines>73</Lines>
  <Paragraphs>20</Paragraphs>
  <ScaleCrop>false</ScaleCrop>
  <Company/>
  <LinksUpToDate>false</LinksUpToDate>
  <CharactersWithSpaces>10416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Matheus Barros</cp:lastModifiedBy>
  <cp:revision>3</cp:revision>
  <dcterms:created xsi:type="dcterms:W3CDTF">2012-08-07T03:57:00Z</dcterms:created>
  <dcterms:modified xsi:type="dcterms:W3CDTF">2016-06-23T17:05:00Z</dcterms:modified>
</cp:coreProperties>
</file>